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E9" w:rsidRPr="001B20D2" w:rsidRDefault="000309E9" w:rsidP="000309E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20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CDA63A" wp14:editId="0E6EABBB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9" w:rsidRPr="001B20D2" w:rsidRDefault="000309E9" w:rsidP="000309E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09E9" w:rsidRPr="001B20D2" w:rsidRDefault="000309E9" w:rsidP="000309E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20D2">
        <w:rPr>
          <w:rFonts w:ascii="Times New Roman" w:hAnsi="Times New Roman"/>
          <w:b/>
          <w:color w:val="000000"/>
          <w:sz w:val="24"/>
          <w:szCs w:val="24"/>
        </w:rPr>
        <w:t xml:space="preserve">Реестр публикаций по </w:t>
      </w:r>
      <w:r>
        <w:rPr>
          <w:rFonts w:ascii="Times New Roman" w:hAnsi="Times New Roman"/>
          <w:b/>
          <w:color w:val="000000"/>
          <w:sz w:val="24"/>
          <w:szCs w:val="24"/>
        </w:rPr>
        <w:t>теории права, государства и судебной власти</w:t>
      </w:r>
      <w:r w:rsidRPr="001B20D2">
        <w:rPr>
          <w:rFonts w:ascii="Times New Roman" w:hAnsi="Times New Roman"/>
          <w:b/>
          <w:color w:val="000000"/>
          <w:sz w:val="24"/>
          <w:szCs w:val="24"/>
        </w:rPr>
        <w:t xml:space="preserve"> в журналах,</w:t>
      </w:r>
    </w:p>
    <w:p w:rsidR="000309E9" w:rsidRPr="001B20D2" w:rsidRDefault="000309E9" w:rsidP="000309E9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20D2">
        <w:rPr>
          <w:rFonts w:ascii="Times New Roman" w:hAnsi="Times New Roman"/>
          <w:b/>
          <w:sz w:val="24"/>
          <w:szCs w:val="24"/>
        </w:rPr>
        <w:t>индексируемых в международных информационно-аналитических системах научного цитирования,</w:t>
      </w:r>
    </w:p>
    <w:p w:rsidR="000309E9" w:rsidRDefault="000309E9" w:rsidP="000309E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20D2">
        <w:rPr>
          <w:rFonts w:ascii="Times New Roman" w:hAnsi="Times New Roman"/>
          <w:b/>
          <w:sz w:val="24"/>
          <w:szCs w:val="24"/>
        </w:rPr>
        <w:t>изданных за последние 5 лет (201</w:t>
      </w:r>
      <w:r w:rsidR="00441C82">
        <w:rPr>
          <w:rFonts w:ascii="Times New Roman" w:hAnsi="Times New Roman"/>
          <w:b/>
          <w:sz w:val="24"/>
          <w:szCs w:val="24"/>
        </w:rPr>
        <w:t>6</w:t>
      </w:r>
      <w:r w:rsidRPr="001B20D2">
        <w:rPr>
          <w:rFonts w:ascii="Times New Roman" w:hAnsi="Times New Roman"/>
          <w:b/>
          <w:sz w:val="24"/>
          <w:szCs w:val="24"/>
        </w:rPr>
        <w:t>-2020 гг.)</w:t>
      </w:r>
    </w:p>
    <w:p w:rsidR="000309E9" w:rsidRDefault="000309E9" w:rsidP="000309E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630"/>
        <w:gridCol w:w="11"/>
        <w:gridCol w:w="3533"/>
        <w:gridCol w:w="11"/>
        <w:gridCol w:w="1548"/>
        <w:gridCol w:w="11"/>
      </w:tblGrid>
      <w:tr w:rsidR="004F3907" w:rsidRPr="004F3907" w:rsidTr="004F3907">
        <w:trPr>
          <w:gridAfter w:val="1"/>
          <w:wAfter w:w="11" w:type="dxa"/>
          <w:trHeight w:val="1019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9E568B" w:rsidRPr="004F3907" w:rsidRDefault="009E568B" w:rsidP="004F3907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4F3907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:rsidR="009E568B" w:rsidRPr="004F3907" w:rsidRDefault="009E568B" w:rsidP="004F3907">
            <w:pPr>
              <w:pStyle w:val="Default"/>
              <w:jc w:val="center"/>
              <w:rPr>
                <w:b/>
                <w:color w:val="auto"/>
              </w:rPr>
            </w:pPr>
            <w:r w:rsidRPr="004F3907">
              <w:rPr>
                <w:b/>
                <w:bCs/>
                <w:color w:val="auto"/>
              </w:rPr>
              <w:t>Полное библиографическое описание статьи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9E568B" w:rsidRPr="004F3907" w:rsidRDefault="009E568B" w:rsidP="004F3907">
            <w:pPr>
              <w:pStyle w:val="Default"/>
              <w:jc w:val="center"/>
              <w:rPr>
                <w:b/>
                <w:color w:val="auto"/>
              </w:rPr>
            </w:pPr>
            <w:r w:rsidRPr="004F3907">
              <w:rPr>
                <w:b/>
                <w:bCs/>
                <w:color w:val="auto"/>
              </w:rPr>
              <w:t>Гиперссылка на</w:t>
            </w:r>
            <w:r w:rsidR="004F3907">
              <w:rPr>
                <w:b/>
                <w:bCs/>
                <w:color w:val="auto"/>
              </w:rPr>
              <w:t xml:space="preserve"> </w:t>
            </w:r>
            <w:r w:rsidRPr="004F3907">
              <w:rPr>
                <w:b/>
                <w:bCs/>
                <w:color w:val="auto"/>
              </w:rPr>
              <w:t>полнотекстовый источник</w:t>
            </w:r>
            <w:r w:rsidR="004F3907">
              <w:rPr>
                <w:b/>
                <w:bCs/>
                <w:color w:val="auto"/>
              </w:rPr>
              <w:t xml:space="preserve"> </w:t>
            </w:r>
            <w:r w:rsidRPr="004F3907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E568B" w:rsidRPr="004F3907" w:rsidRDefault="009E568B" w:rsidP="004F3907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4F3907">
              <w:rPr>
                <w:b/>
                <w:bCs/>
                <w:color w:val="auto"/>
              </w:rPr>
              <w:t>Импакт</w:t>
            </w:r>
            <w:proofErr w:type="spellEnd"/>
            <w:r w:rsidRPr="004F3907">
              <w:rPr>
                <w:b/>
                <w:bCs/>
                <w:color w:val="auto"/>
              </w:rPr>
              <w:t>-фактор журнала</w:t>
            </w:r>
          </w:p>
        </w:tc>
      </w:tr>
      <w:tr w:rsidR="004F3907" w:rsidRPr="006A7782" w:rsidTr="004F3907">
        <w:trPr>
          <w:trHeight w:val="348"/>
        </w:trPr>
        <w:tc>
          <w:tcPr>
            <w:tcW w:w="14596" w:type="dxa"/>
            <w:gridSpan w:val="7"/>
            <w:tcBorders>
              <w:bottom w:val="single" w:sz="4" w:space="0" w:color="auto"/>
            </w:tcBorders>
            <w:vAlign w:val="center"/>
          </w:tcPr>
          <w:p w:rsidR="004F3907" w:rsidRPr="004F3907" w:rsidRDefault="004F3907" w:rsidP="004F3907">
            <w:pPr>
              <w:pStyle w:val="Default"/>
              <w:jc w:val="center"/>
              <w:rPr>
                <w:bCs/>
                <w:color w:val="auto"/>
                <w:lang w:val="en-GB"/>
              </w:rPr>
            </w:pPr>
            <w:r w:rsidRPr="004F3907">
              <w:rPr>
                <w:b/>
                <w:color w:val="auto"/>
                <w:lang w:val="en-US"/>
              </w:rPr>
              <w:t>Web of Science Core Collection</w:t>
            </w:r>
          </w:p>
        </w:tc>
      </w:tr>
      <w:tr w:rsidR="00C1591E" w:rsidRPr="00C1591E" w:rsidTr="004F3907">
        <w:trPr>
          <w:trHeight w:val="34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1591E" w:rsidRPr="009B0E73" w:rsidRDefault="00C1591E" w:rsidP="004F3907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  <w:lang w:val="en-GB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C1591E" w:rsidRPr="009B0E73" w:rsidRDefault="00C1591E" w:rsidP="00C1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В.М., Баранова М.В. </w:t>
            </w:r>
            <w:proofErr w:type="gram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</w:rPr>
              <w:t>мл.,</w:t>
            </w:r>
            <w:proofErr w:type="gramEnd"/>
            <w:r w:rsidRPr="009B0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Лаврентьев А.Р. Доктринальное экспертное заключение о содержании и технико-юридическом качестве проекта Федерального закона «О молодежи и государственной молодежной политике в Российской Федерации» // Юридическая наука и практика: Вестник Нижегородской академии МВД России. 2018. № 1 (41). С. 272-282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C1591E" w:rsidRPr="009B0E73" w:rsidRDefault="00C1591E" w:rsidP="004F3907">
            <w:pPr>
              <w:pStyle w:val="1"/>
              <w:jc w:val="center"/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1591E" w:rsidRPr="009B0E73" w:rsidRDefault="00C1591E" w:rsidP="004F3907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4F3907" w:rsidRPr="004F3907" w:rsidTr="004F3907">
        <w:trPr>
          <w:trHeight w:val="34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F3907" w:rsidRPr="009B0E73" w:rsidRDefault="004F3907" w:rsidP="004F3907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  <w:lang w:val="en-GB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4F3907" w:rsidRPr="009B0E73" w:rsidRDefault="004F3907" w:rsidP="004F39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0E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Дорская</w:t>
            </w:r>
            <w:proofErr w:type="spellEnd"/>
            <w:r w:rsidRPr="009B0E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А.А., </w:t>
            </w:r>
            <w:proofErr w:type="spellStart"/>
            <w:r w:rsidRPr="009B0E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Дорский</w:t>
            </w:r>
            <w:proofErr w:type="spellEnd"/>
            <w:r w:rsidRPr="009B0E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А.Ю. </w:t>
            </w:r>
            <w:r w:rsidRPr="009B0E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Официальная политика памяти в современной России: юридическое измерение // В</w:t>
            </w:r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</w:rPr>
              <w:t>естник Санкт-Петербургского университета. Серия</w:t>
            </w:r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». 2018.  </w:t>
            </w:r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9. № 2. </w:t>
            </w:r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124-138.</w:t>
            </w:r>
          </w:p>
          <w:p w:rsidR="004F3907" w:rsidRPr="009B0E73" w:rsidRDefault="004F3907" w:rsidP="004F39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F3907" w:rsidRPr="009B0E73" w:rsidRDefault="004F3907" w:rsidP="004F39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Dorskaia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, A. A.; 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Dorskii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, A. Y. The official policy of memory in modern Russia: Legal dimension // 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Vestnik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 of Saint Petersburg university-law-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Vestnik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 Sankt-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Peterburgskogouniversiteta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-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pravo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. 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018.  Т.9. Вып.2.  С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124-138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F3907" w:rsidRPr="009B0E73" w:rsidRDefault="004F3907" w:rsidP="004F39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http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://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proxy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library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spbu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ru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:2104/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full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record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do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?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product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=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WOS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&amp;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search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mode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=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GeneralSearch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&amp;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qid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=3&amp;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SID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=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F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73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x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BYG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aNEahw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&amp;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page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=1&amp;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doc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=6&amp;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cacheurlFromRightClick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=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F3907" w:rsidRPr="009B0E73" w:rsidRDefault="004F3907" w:rsidP="004F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1591E" w:rsidRPr="004F3907" w:rsidTr="004F3907">
        <w:trPr>
          <w:trHeight w:val="34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1591E" w:rsidRPr="009B0E73" w:rsidRDefault="00C1591E" w:rsidP="004F3907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  <w:lang w:val="en-GB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C1591E" w:rsidRPr="009B0E73" w:rsidRDefault="00C1591E" w:rsidP="00C1591E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E73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В.С. Автоматизированный учет нормативного материала как форма систематизации законодательства // Юридическая наука и практика: Вестник Нижегородской академии МВД России. 2018. № 1 (41). С. 232-236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C1591E" w:rsidRPr="009B0E73" w:rsidRDefault="00C1591E" w:rsidP="004F39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1591E" w:rsidRPr="009B0E73" w:rsidRDefault="00C1591E" w:rsidP="004F3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D1D" w:rsidRPr="004F3907" w:rsidTr="004F3907">
        <w:trPr>
          <w:trHeight w:val="34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  <w:lang w:val="en-GB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a9"/>
              <w:spacing w:before="0" w:beforeAutospacing="0" w:after="0" w:afterAutospacing="0"/>
              <w:jc w:val="center"/>
            </w:pPr>
            <w:r w:rsidRPr="009B0E73">
              <w:t>Ершов В.В. О формах международного права, реализуемых в России // Вестник Томского государственного университета. 2018. № 427. С. 195 – 200.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A7782" w:rsidP="006D3D1D">
            <w:pPr>
              <w:pStyle w:val="a9"/>
              <w:spacing w:before="0" w:beforeAutospacing="0" w:after="0" w:afterAutospacing="0"/>
              <w:jc w:val="center"/>
            </w:pPr>
            <w:hyperlink r:id="rId6" w:history="1">
              <w:r w:rsidR="006D3D1D" w:rsidRPr="009B0E73">
                <w:rPr>
                  <w:rStyle w:val="a5"/>
                  <w:color w:val="auto"/>
                  <w:u w:val="none"/>
                </w:rPr>
                <w:t>http://journals.tsu.ru/vestnik/&amp;journal_page=archive&amp;id=1677&amp;article_id=37452</w:t>
              </w:r>
            </w:hyperlink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a9"/>
              <w:spacing w:before="0" w:beforeAutospacing="0" w:after="0" w:afterAutospacing="0"/>
              <w:jc w:val="center"/>
            </w:pPr>
            <w:r w:rsidRPr="009B0E73">
              <w:t>0,328</w:t>
            </w:r>
          </w:p>
        </w:tc>
      </w:tr>
      <w:tr w:rsidR="00E510B3" w:rsidRPr="004F3907" w:rsidTr="004F3907">
        <w:trPr>
          <w:trHeight w:val="34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510B3" w:rsidRPr="009B0E73" w:rsidRDefault="00E510B3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</w:rPr>
            </w:pPr>
            <w:bookmarkStart w:id="0" w:name="_GoBack"/>
            <w:bookmarkEnd w:id="0"/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E510B3" w:rsidRPr="009B0E73" w:rsidRDefault="00E510B3" w:rsidP="006D3D1D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9B0E73">
              <w:rPr>
                <w:lang w:eastAsia="ar-SA"/>
              </w:rPr>
              <w:t>Жолобов</w:t>
            </w:r>
            <w:proofErr w:type="spellEnd"/>
            <w:r w:rsidRPr="009B0E73">
              <w:rPr>
                <w:lang w:eastAsia="ar-SA"/>
              </w:rPr>
              <w:t xml:space="preserve"> Я.Б., </w:t>
            </w:r>
            <w:proofErr w:type="spellStart"/>
            <w:r w:rsidRPr="009B0E73">
              <w:rPr>
                <w:lang w:eastAsia="ar-SA"/>
              </w:rPr>
              <w:t>Очередько</w:t>
            </w:r>
            <w:proofErr w:type="spellEnd"/>
            <w:r w:rsidRPr="009B0E73">
              <w:rPr>
                <w:lang w:eastAsia="ar-SA"/>
              </w:rPr>
              <w:t xml:space="preserve"> В.П., Бондарев В.Г., </w:t>
            </w:r>
            <w:proofErr w:type="spellStart"/>
            <w:r w:rsidRPr="009B0E73">
              <w:rPr>
                <w:lang w:eastAsia="ar-SA"/>
              </w:rPr>
              <w:t>Дорская</w:t>
            </w:r>
            <w:proofErr w:type="spellEnd"/>
            <w:r w:rsidRPr="009B0E73">
              <w:rPr>
                <w:lang w:eastAsia="ar-SA"/>
              </w:rPr>
              <w:t xml:space="preserve"> А.А. Соотношение прав и закона в России как историко-правовая </w:t>
            </w:r>
            <w:proofErr w:type="gramStart"/>
            <w:r w:rsidRPr="009B0E73">
              <w:rPr>
                <w:lang w:eastAsia="ar-SA"/>
              </w:rPr>
              <w:t>проблема</w:t>
            </w:r>
            <w:r w:rsidRPr="009B0E73">
              <w:rPr>
                <w:iCs/>
                <w:lang w:eastAsia="ar-SA"/>
              </w:rPr>
              <w:t xml:space="preserve">  [</w:t>
            </w:r>
            <w:proofErr w:type="gramEnd"/>
            <w:r w:rsidRPr="009B0E73">
              <w:rPr>
                <w:iCs/>
                <w:lang w:eastAsia="ar-SA"/>
              </w:rPr>
              <w:t>Текст] /</w:t>
            </w:r>
            <w:r w:rsidRPr="009B0E73">
              <w:rPr>
                <w:lang w:eastAsia="ar-SA"/>
              </w:rPr>
              <w:t xml:space="preserve"> Я.Б. </w:t>
            </w:r>
            <w:proofErr w:type="spellStart"/>
            <w:r w:rsidRPr="009B0E73">
              <w:rPr>
                <w:lang w:eastAsia="ar-SA"/>
              </w:rPr>
              <w:t>Жолобов</w:t>
            </w:r>
            <w:proofErr w:type="spellEnd"/>
            <w:r w:rsidRPr="009B0E73">
              <w:rPr>
                <w:lang w:eastAsia="ar-SA"/>
              </w:rPr>
              <w:t xml:space="preserve">, В.П. </w:t>
            </w:r>
            <w:proofErr w:type="spellStart"/>
            <w:r w:rsidRPr="009B0E73">
              <w:rPr>
                <w:lang w:eastAsia="ar-SA"/>
              </w:rPr>
              <w:t>Очередько</w:t>
            </w:r>
            <w:proofErr w:type="spellEnd"/>
            <w:r w:rsidRPr="009B0E73">
              <w:rPr>
                <w:lang w:eastAsia="ar-SA"/>
              </w:rPr>
              <w:t xml:space="preserve">, В.Г. Бондарев, А.А. </w:t>
            </w:r>
            <w:proofErr w:type="spellStart"/>
            <w:r w:rsidRPr="009B0E73">
              <w:rPr>
                <w:lang w:eastAsia="ar-SA"/>
              </w:rPr>
              <w:t>Дорская</w:t>
            </w:r>
            <w:proofErr w:type="spellEnd"/>
            <w:r w:rsidRPr="009B0E73">
              <w:rPr>
                <w:lang w:eastAsia="ar-SA"/>
              </w:rPr>
              <w:t xml:space="preserve">  //  Вестник СПбГУ. Право. 2019. Т.10.  № 1. С 24-37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E510B3" w:rsidRPr="009B0E73" w:rsidRDefault="00E510B3" w:rsidP="006D3D1D">
            <w:pPr>
              <w:pStyle w:val="a9"/>
              <w:spacing w:before="0" w:beforeAutospacing="0" w:after="0" w:afterAutospacing="0"/>
              <w:jc w:val="center"/>
              <w:rPr>
                <w:rStyle w:val="a5"/>
                <w:color w:val="auto"/>
                <w:u w:val="none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510B3" w:rsidRPr="009B0E73" w:rsidRDefault="00E510B3" w:rsidP="006D3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D3D1D" w:rsidRPr="004F3907" w:rsidTr="004F3907">
        <w:trPr>
          <w:trHeight w:val="34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9B0E73">
              <w:rPr>
                <w:lang w:eastAsia="ar-SA"/>
              </w:rPr>
              <w:t>Зинков</w:t>
            </w:r>
            <w:proofErr w:type="spellEnd"/>
            <w:r w:rsidRPr="009B0E73">
              <w:rPr>
                <w:lang w:eastAsia="ar-SA"/>
              </w:rPr>
              <w:t xml:space="preserve"> Е. Г. Пространство коллизий в Российском праве и законодательных актах// Юридическая наука и практика: Вестник Нижегородской академии МВД России №3. Нижний Новгород. 2018. С.65-70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a9"/>
              <w:spacing w:before="0" w:beforeAutospacing="0" w:after="0" w:afterAutospacing="0"/>
              <w:jc w:val="center"/>
              <w:rPr>
                <w:rStyle w:val="a5"/>
                <w:color w:val="auto"/>
                <w:u w:val="none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9661C9" w:rsidRPr="004F3907" w:rsidTr="004F3907">
        <w:trPr>
          <w:trHeight w:val="34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9661C9" w:rsidRPr="009B0E73" w:rsidRDefault="009661C9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9661C9" w:rsidRPr="009B0E73" w:rsidRDefault="009661C9" w:rsidP="006D3D1D">
            <w:pPr>
              <w:pStyle w:val="a9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9B0E73">
              <w:rPr>
                <w:shd w:val="clear" w:color="auto" w:fill="FFFFFF"/>
              </w:rPr>
              <w:t>Корнев В.Н. Эволюция доктрины принципов права в отечественной юридической науке //</w:t>
            </w:r>
            <w:r w:rsidRPr="009B0E73">
              <w:rPr>
                <w:color w:val="000000"/>
                <w:shd w:val="clear" w:color="auto" w:fill="FFFFFF"/>
              </w:rPr>
              <w:t xml:space="preserve"> Юридическая наука и практика: вестник Нижегородской академии </w:t>
            </w:r>
            <w:proofErr w:type="gramStart"/>
            <w:r w:rsidRPr="009B0E73">
              <w:rPr>
                <w:color w:val="000000"/>
                <w:shd w:val="clear" w:color="auto" w:fill="FFFFFF"/>
              </w:rPr>
              <w:t>МВД  России</w:t>
            </w:r>
            <w:proofErr w:type="gramEnd"/>
            <w:r w:rsidRPr="009B0E73">
              <w:rPr>
                <w:color w:val="000000"/>
                <w:shd w:val="clear" w:color="auto" w:fill="FFFFFF"/>
              </w:rPr>
              <w:t>. № 1 (41) С.64-70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9661C9" w:rsidRPr="009B0E73" w:rsidRDefault="009661C9" w:rsidP="006D3D1D">
            <w:pPr>
              <w:pStyle w:val="a9"/>
              <w:spacing w:before="0" w:beforeAutospacing="0" w:after="0" w:afterAutospacing="0"/>
              <w:jc w:val="center"/>
              <w:rPr>
                <w:rStyle w:val="a5"/>
                <w:color w:val="auto"/>
                <w:u w:val="none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661C9" w:rsidRPr="009B0E73" w:rsidRDefault="009661C9" w:rsidP="006D3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0C34D8" w:rsidRPr="006D3D1D" w:rsidTr="004F3907">
        <w:trPr>
          <w:trHeight w:val="34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C34D8" w:rsidRPr="009B0E73" w:rsidRDefault="000C34D8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0C34D8" w:rsidRPr="009B0E73" w:rsidRDefault="000C34D8" w:rsidP="006D3D1D">
            <w:pPr>
              <w:pStyle w:val="10"/>
              <w:tabs>
                <w:tab w:val="left" w:pos="1139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0E73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Оганесян Т.Д. </w:t>
            </w:r>
            <w:r w:rsidRPr="009B0E73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Процедура пилотного постановления Европейского суда по правам человека как средство трансформации национальных правовых </w:t>
            </w:r>
            <w:proofErr w:type="gramStart"/>
            <w:r w:rsidRPr="009B0E73">
              <w:rPr>
                <w:rFonts w:eastAsia="Calibri"/>
                <w:color w:val="000000"/>
                <w:sz w:val="24"/>
                <w:szCs w:val="24"/>
                <w:lang w:eastAsia="ar-SA"/>
              </w:rPr>
              <w:t>систем  /</w:t>
            </w:r>
            <w:proofErr w:type="gramEnd"/>
            <w:r w:rsidRPr="009B0E73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/ Вестник Томского государственного университета. 2018. № 429. </w:t>
            </w:r>
            <w:r w:rsidRPr="009B0E73">
              <w:rPr>
                <w:rFonts w:eastAsia="Calibri"/>
                <w:color w:val="000000"/>
                <w:sz w:val="24"/>
                <w:szCs w:val="24"/>
                <w:lang w:val="en-US" w:eastAsia="ar-SA"/>
              </w:rPr>
              <w:t>C</w:t>
            </w:r>
            <w:r w:rsidRPr="009B0E73">
              <w:rPr>
                <w:rFonts w:eastAsia="Calibri"/>
                <w:color w:val="000000"/>
                <w:sz w:val="24"/>
                <w:szCs w:val="24"/>
                <w:lang w:eastAsia="ar-SA"/>
              </w:rPr>
              <w:t>. 221–226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0C34D8" w:rsidRPr="009B0E73" w:rsidRDefault="000C34D8" w:rsidP="006D3D1D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C34D8" w:rsidRPr="009B0E73" w:rsidRDefault="000C34D8" w:rsidP="006D3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F3743D" w:rsidRPr="00C96A2A" w:rsidTr="004F3907">
        <w:trPr>
          <w:trHeight w:val="34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3743D" w:rsidRPr="009B0E73" w:rsidRDefault="00F3743D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F3743D" w:rsidRPr="009B0E73" w:rsidRDefault="00F3743D" w:rsidP="006D3D1D">
            <w:pPr>
              <w:pStyle w:val="10"/>
              <w:tabs>
                <w:tab w:val="left" w:pos="1139"/>
              </w:tabs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proofErr w:type="spellStart"/>
            <w:r w:rsidRPr="009B0E73">
              <w:rPr>
                <w:rFonts w:eastAsia="Calibri"/>
                <w:sz w:val="24"/>
                <w:lang w:val="en-US" w:eastAsia="ar-SA"/>
              </w:rPr>
              <w:t>Savushkin</w:t>
            </w:r>
            <w:proofErr w:type="spellEnd"/>
            <w:r w:rsidRPr="009B0E73">
              <w:rPr>
                <w:rFonts w:eastAsia="Calibri"/>
                <w:sz w:val="24"/>
                <w:lang w:val="en-US" w:eastAsia="ar-SA"/>
              </w:rPr>
              <w:t xml:space="preserve"> L.M. Cultural matrix of </w:t>
            </w:r>
            <w:proofErr w:type="spellStart"/>
            <w:r w:rsidRPr="009B0E73">
              <w:rPr>
                <w:rFonts w:eastAsia="Calibri"/>
                <w:sz w:val="24"/>
                <w:lang w:val="en-US" w:eastAsia="ar-SA"/>
              </w:rPr>
              <w:t>Rassian</w:t>
            </w:r>
            <w:proofErr w:type="spellEnd"/>
            <w:r w:rsidRPr="009B0E73">
              <w:rPr>
                <w:rFonts w:eastAsia="Calibri"/>
                <w:sz w:val="24"/>
                <w:lang w:val="en-US" w:eastAsia="ar-SA"/>
              </w:rPr>
              <w:t xml:space="preserve"> state power (Spiritual – ideological foundations)/ L.M. </w:t>
            </w:r>
            <w:proofErr w:type="spellStart"/>
            <w:r w:rsidRPr="009B0E73">
              <w:rPr>
                <w:rFonts w:eastAsia="Calibri"/>
                <w:sz w:val="24"/>
                <w:lang w:val="en-US" w:eastAsia="ar-SA"/>
              </w:rPr>
              <w:t>Savushkin</w:t>
            </w:r>
            <w:proofErr w:type="spellEnd"/>
            <w:r w:rsidRPr="009B0E73">
              <w:rPr>
                <w:rFonts w:eastAsia="Calibri"/>
                <w:sz w:val="24"/>
                <w:lang w:val="en-US" w:eastAsia="ar-SA"/>
              </w:rPr>
              <w:t xml:space="preserve">, V.S. </w:t>
            </w:r>
            <w:proofErr w:type="spellStart"/>
            <w:r w:rsidRPr="009B0E73">
              <w:rPr>
                <w:rFonts w:eastAsia="Calibri"/>
                <w:sz w:val="24"/>
                <w:lang w:val="en-US" w:eastAsia="ar-SA"/>
              </w:rPr>
              <w:t>Ostapenco</w:t>
            </w:r>
            <w:proofErr w:type="spellEnd"/>
            <w:r w:rsidRPr="009B0E73">
              <w:rPr>
                <w:rFonts w:eastAsia="Calibri"/>
                <w:sz w:val="24"/>
                <w:lang w:val="en-US" w:eastAsia="ar-SA"/>
              </w:rPr>
              <w:t xml:space="preserve">, V.N. </w:t>
            </w:r>
            <w:proofErr w:type="spellStart"/>
            <w:r w:rsidRPr="009B0E73">
              <w:rPr>
                <w:rFonts w:eastAsia="Calibri"/>
                <w:sz w:val="24"/>
                <w:lang w:val="en-US" w:eastAsia="ar-SA"/>
              </w:rPr>
              <w:t>Pervushina</w:t>
            </w:r>
            <w:proofErr w:type="spellEnd"/>
            <w:r w:rsidRPr="009B0E73">
              <w:rPr>
                <w:rFonts w:eastAsia="Calibri"/>
                <w:sz w:val="24"/>
                <w:lang w:val="en-US" w:eastAsia="ar-SA"/>
              </w:rPr>
              <w:t xml:space="preserve">, E.M. </w:t>
            </w:r>
            <w:proofErr w:type="spellStart"/>
            <w:r w:rsidRPr="009B0E73">
              <w:rPr>
                <w:rFonts w:eastAsia="Calibri"/>
                <w:sz w:val="24"/>
                <w:lang w:val="en-US" w:eastAsia="ar-SA"/>
              </w:rPr>
              <w:t>Leshchenco</w:t>
            </w:r>
            <w:proofErr w:type="spellEnd"/>
            <w:r w:rsidRPr="009B0E73">
              <w:rPr>
                <w:rFonts w:eastAsia="Calibri"/>
                <w:sz w:val="24"/>
                <w:lang w:val="en-US" w:eastAsia="ar-SA"/>
              </w:rPr>
              <w:t>/International E-</w:t>
            </w:r>
            <w:proofErr w:type="spellStart"/>
            <w:r w:rsidRPr="009B0E73">
              <w:rPr>
                <w:rFonts w:eastAsia="Calibri"/>
                <w:sz w:val="24"/>
                <w:lang w:val="en-US" w:eastAsia="ar-SA"/>
              </w:rPr>
              <w:t>jornal</w:t>
            </w:r>
            <w:proofErr w:type="spellEnd"/>
            <w:r w:rsidRPr="009B0E73">
              <w:rPr>
                <w:rFonts w:eastAsia="Calibri"/>
                <w:sz w:val="24"/>
                <w:lang w:val="en-US" w:eastAsia="ar-SA"/>
              </w:rPr>
              <w:t xml:space="preserve"> of Advances in Social Sciences. </w:t>
            </w:r>
            <w:proofErr w:type="spellStart"/>
            <w:r w:rsidRPr="009B0E73">
              <w:rPr>
                <w:rFonts w:eastAsia="Calibri"/>
                <w:sz w:val="24"/>
                <w:lang w:val="en-US" w:eastAsia="ar-SA"/>
              </w:rPr>
              <w:t>Volum</w:t>
            </w:r>
            <w:proofErr w:type="spellEnd"/>
            <w:r w:rsidRPr="009B0E73">
              <w:rPr>
                <w:rFonts w:eastAsia="Calibri"/>
                <w:sz w:val="24"/>
                <w:lang w:val="en-US" w:eastAsia="ar-SA"/>
              </w:rPr>
              <w:t xml:space="preserve"> 5 – Issue 13, April 2019. – P. 240-249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F3743D" w:rsidRPr="009B0E73" w:rsidRDefault="00F3743D" w:rsidP="006D3D1D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3743D" w:rsidRPr="009B0E73" w:rsidRDefault="00F3743D" w:rsidP="006D3D1D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69016E" w:rsidRPr="0069016E" w:rsidTr="004F3907">
        <w:trPr>
          <w:trHeight w:val="34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9016E" w:rsidRPr="009B0E73" w:rsidRDefault="0069016E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69016E" w:rsidRPr="009B0E73" w:rsidRDefault="0069016E" w:rsidP="006D3D1D">
            <w:pPr>
              <w:pStyle w:val="10"/>
              <w:tabs>
                <w:tab w:val="left" w:pos="1139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B0E73">
              <w:rPr>
                <w:rFonts w:eastAsia="Calibri"/>
                <w:sz w:val="24"/>
                <w:szCs w:val="24"/>
                <w:lang w:eastAsia="ar-SA"/>
              </w:rPr>
              <w:t>Юсубов</w:t>
            </w:r>
            <w:proofErr w:type="spellEnd"/>
            <w:r w:rsidRPr="009B0E73">
              <w:rPr>
                <w:rFonts w:eastAsia="Calibri"/>
                <w:sz w:val="24"/>
                <w:szCs w:val="24"/>
                <w:lang w:eastAsia="ar-SA"/>
              </w:rPr>
              <w:t xml:space="preserve"> Э.С., Филимонов Ю.В. Правотворчество в аспекте судебного </w:t>
            </w:r>
            <w:proofErr w:type="spellStart"/>
            <w:r w:rsidRPr="009B0E73">
              <w:rPr>
                <w:rFonts w:eastAsia="Calibri"/>
                <w:sz w:val="24"/>
                <w:szCs w:val="24"/>
                <w:lang w:eastAsia="ar-SA"/>
              </w:rPr>
              <w:t>правоприменения</w:t>
            </w:r>
            <w:proofErr w:type="spellEnd"/>
            <w:r w:rsidRPr="009B0E73">
              <w:rPr>
                <w:rFonts w:eastAsia="Calibri"/>
                <w:sz w:val="24"/>
                <w:szCs w:val="24"/>
                <w:lang w:eastAsia="ar-SA"/>
              </w:rPr>
              <w:t xml:space="preserve"> // Вестник Том. Гос. Ун-та. Право. 2019. №33. С.187-195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9016E" w:rsidRPr="009B0E73" w:rsidRDefault="0069016E" w:rsidP="006D3D1D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9016E" w:rsidRPr="009B0E73" w:rsidRDefault="0069016E" w:rsidP="006D3D1D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0D3B65" w:rsidRPr="004F3907" w:rsidTr="004F3907">
        <w:trPr>
          <w:trHeight w:val="522"/>
        </w:trPr>
        <w:tc>
          <w:tcPr>
            <w:tcW w:w="14596" w:type="dxa"/>
            <w:gridSpan w:val="7"/>
            <w:tcBorders>
              <w:bottom w:val="single" w:sz="4" w:space="0" w:color="auto"/>
            </w:tcBorders>
            <w:vAlign w:val="center"/>
          </w:tcPr>
          <w:p w:rsidR="000D3B65" w:rsidRPr="004F3907" w:rsidRDefault="000D3B65" w:rsidP="000D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6D3D1D" w:rsidRPr="004F3907" w:rsidTr="004F3907">
        <w:trPr>
          <w:trHeight w:val="554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Abdurakhmanova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I.V.,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Orlova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N. E.,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Vlasova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G. B., </w:t>
            </w:r>
            <w:proofErr w:type="spell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Denisenko</w:t>
            </w:r>
            <w:proofErr w:type="spell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S.V.,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Vlasov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V.I. </w:t>
            </w:r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The Form of Interaction between the Public Authorities and Civil Society in the Context of Digitalization // Lecture notes in networks and systems. 2019. Volume 87. P.925-930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A7782" w:rsidP="006D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7" w:history="1">
              <w:r w:rsidR="006D3D1D" w:rsidRPr="009B0E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https://elibrary.ru/item.asp?id=41688013</w:t>
              </w:r>
            </w:hyperlink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D3D1D" w:rsidRPr="004F3907" w:rsidTr="004F3907">
        <w:trPr>
          <w:trHeight w:val="554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Vlasova</w:t>
            </w:r>
            <w:proofErr w:type="spell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G.B., </w:t>
            </w:r>
            <w:proofErr w:type="spell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Abdurakhmanova</w:t>
            </w:r>
            <w:proofErr w:type="spell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I. V., </w:t>
            </w:r>
            <w:proofErr w:type="spell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Orlova</w:t>
            </w:r>
            <w:proofErr w:type="spell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N. E. Tendencies </w:t>
            </w:r>
            <w:proofErr w:type="gram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and  prospects</w:t>
            </w:r>
            <w:proofErr w:type="gram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of the legal state development under digitalization // </w:t>
            </w:r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ab/>
              <w:t>Lecture notes in networks and systems. 2019. Volume 87. P.908-915.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A7782" w:rsidP="006D3D1D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6D3D1D" w:rsidRPr="009B0E7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https://www.elibrary.ru/item.asp?id=41690180</w:t>
              </w:r>
            </w:hyperlink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D3D1D" w:rsidRPr="004F3907" w:rsidTr="004F3907">
        <w:trPr>
          <w:trHeight w:val="554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Vlasov</w:t>
            </w:r>
            <w:proofErr w:type="spell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 xml:space="preserve"> V.I., </w:t>
            </w:r>
            <w:proofErr w:type="spell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Vlasova</w:t>
            </w:r>
            <w:proofErr w:type="spell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G.B., </w:t>
            </w:r>
            <w:proofErr w:type="spell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Denisenko</w:t>
            </w:r>
            <w:proofErr w:type="spell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S.V., </w:t>
            </w:r>
            <w:proofErr w:type="spell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Litvinova</w:t>
            </w:r>
            <w:proofErr w:type="spell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O.V. The basic principles of the European state and dynamics of the political and legal development within the Russian </w:t>
            </w:r>
            <w:proofErr w:type="gram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Federation  /</w:t>
            </w:r>
            <w:proofErr w:type="gram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/ Special Issue Dedicated to the International Conference organized by the Rostov State University of economics, titled “Russia and EU: Development and </w:t>
            </w:r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Horizons”// European Research Studies Journal. 2017. Vol. XX. Issue 1. </w:t>
            </w:r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 225-234.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A7782" w:rsidP="006D3D1D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6D3D1D" w:rsidRPr="009B0E7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https://www.um.edu.mt/library/oar/bitstream/123456789/28961/1/The_Basic_Principles_of_the_European_State_and_Dynamics_of_th</w:t>
              </w:r>
              <w:r w:rsidR="006D3D1D" w:rsidRPr="009B0E7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e_Political_and_Legal_Development_within_the_Russian_Federation_2017.pdf</w:t>
              </w:r>
            </w:hyperlink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-</w:t>
            </w:r>
          </w:p>
        </w:tc>
      </w:tr>
      <w:tr w:rsidR="006D3D1D" w:rsidRPr="004F3907" w:rsidTr="004F3907">
        <w:trPr>
          <w:trHeight w:val="420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D3D1D" w:rsidRPr="009B0E73" w:rsidRDefault="006D3D1D" w:rsidP="006D3D1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Vlasov</w:t>
            </w:r>
            <w:proofErr w:type="spell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 xml:space="preserve"> V.I., </w:t>
            </w:r>
            <w:proofErr w:type="spell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Vlasova</w:t>
            </w:r>
            <w:proofErr w:type="spell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G.B., </w:t>
            </w:r>
            <w:proofErr w:type="spell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Denisenko</w:t>
            </w:r>
            <w:proofErr w:type="spell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S.V., </w:t>
            </w:r>
            <w:proofErr w:type="spellStart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Kolesnick</w:t>
            </w:r>
            <w:proofErr w:type="spellEnd"/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V.V. Comparative Analysis of Mediation Procedures and the Judicial Settlement of Conflicts // European Research Studies Journal. 2017. Volume XX. Issue (3). Part B. </w:t>
            </w:r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 211-220.</w:t>
            </w:r>
          </w:p>
        </w:tc>
        <w:tc>
          <w:tcPr>
            <w:tcW w:w="3544" w:type="dxa"/>
            <w:gridSpan w:val="2"/>
            <w:vAlign w:val="center"/>
          </w:tcPr>
          <w:p w:rsidR="006D3D1D" w:rsidRPr="009B0E73" w:rsidRDefault="006A7782" w:rsidP="006D3D1D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6D3D1D" w:rsidRPr="009B0E7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https://www.semanticscholar.org/paper/Comparative-Analysis-of-Mediation-Procedures-and-of-Vlasov-Vlasova/11ec9b4e8c20eeb3470565e54632732bfcde7e32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6D3D1D" w:rsidRPr="009B0E73" w:rsidRDefault="006D3D1D" w:rsidP="006D3D1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B0E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6D3D1D" w:rsidRPr="004F3907" w:rsidTr="004F3907">
        <w:trPr>
          <w:trHeight w:val="420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D3D1D" w:rsidRPr="009B0E73" w:rsidRDefault="006D3D1D" w:rsidP="006D3D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Volkova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, N., 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Dorskaya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Pashentsev</w:t>
            </w:r>
            <w:proofErr w:type="spellEnd"/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, D. Trends in state regulation of agrarian relations in Russia: Experience, problems, and prospects // IOP Conference Series: Earth and Environmental Science. 2019. 274(1). 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</w:t>
            </w: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.012-061.</w:t>
            </w:r>
          </w:p>
        </w:tc>
        <w:tc>
          <w:tcPr>
            <w:tcW w:w="3544" w:type="dxa"/>
            <w:gridSpan w:val="2"/>
            <w:vAlign w:val="center"/>
          </w:tcPr>
          <w:p w:rsidR="006D3D1D" w:rsidRPr="009B0E73" w:rsidRDefault="006D3D1D" w:rsidP="006D3D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9B0E7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https://proxy.library.spbu.ru:2084/record/display.uri?eid=2-s2.0-85068003431&amp;origin=resultslist&amp;sort=plf-f&amp;src=s&amp;st1=Dorskaya+A&amp;st2=&amp;sid=c414971fa3a8c6df21a5c0330188d55d&amp;sot=b&amp;sdt=b&amp;sl=23&amp;s=AUTHOR-NAME%28Dorskaya+A%29&amp;relpos=0&amp;citeCnt=0&amp;searchTerm=</w:t>
            </w:r>
          </w:p>
        </w:tc>
        <w:tc>
          <w:tcPr>
            <w:tcW w:w="1559" w:type="dxa"/>
            <w:gridSpan w:val="2"/>
            <w:vAlign w:val="center"/>
          </w:tcPr>
          <w:p w:rsidR="006D3D1D" w:rsidRPr="009B0E73" w:rsidRDefault="006D3D1D" w:rsidP="006D3D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B0E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3D1D" w:rsidRPr="006A7782" w:rsidTr="004F3907">
        <w:trPr>
          <w:trHeight w:val="420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D3D1D" w:rsidRPr="009B0E73" w:rsidRDefault="006D3D1D" w:rsidP="006D3D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Golubovskii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Vladimir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Yurievich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Kazhkeeva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Bagytgul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Saparzhanovna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Kunts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Elena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Vladimirovna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Rasbaeva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Akmaral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Bisengalievna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Historical and Legal Study of the National Equality Protection in the Russian Legislation [</w:t>
            </w:r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Электронный</w:t>
            </w:r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ресурс</w:t>
            </w:r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] / V.Y.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Golubovskii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, B. S.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Kazhkeeva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, E. V.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Kunts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, A. B. </w:t>
            </w:r>
            <w:proofErr w:type="spellStart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Rasbaeva</w:t>
            </w:r>
            <w:proofErr w:type="spellEnd"/>
            <w:r w:rsidRPr="009B0E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// Indian Journal of Science and Technology.  2016.  V.9, No 19. P. 93900</w:t>
            </w:r>
          </w:p>
        </w:tc>
        <w:tc>
          <w:tcPr>
            <w:tcW w:w="3544" w:type="dxa"/>
            <w:gridSpan w:val="2"/>
            <w:vAlign w:val="center"/>
          </w:tcPr>
          <w:p w:rsidR="006D3D1D" w:rsidRPr="009B0E73" w:rsidRDefault="006A7782" w:rsidP="006D3D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hyperlink r:id="rId11" w:history="1">
              <w:r w:rsidR="006D3D1D" w:rsidRPr="009B0E73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 w:eastAsia="ar-SA"/>
                </w:rPr>
                <w:t>http://www.indjst.org/index.php/indjst/article/view/93900/69773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6D3D1D" w:rsidRPr="009B0E73" w:rsidRDefault="006D3D1D" w:rsidP="006D3D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D3D1D" w:rsidRPr="004F3907" w:rsidTr="004F3907">
        <w:trPr>
          <w:trHeight w:val="420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D3D1D" w:rsidRPr="009B0E73" w:rsidRDefault="006D3D1D" w:rsidP="006D3D1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PhD. V. Yu </w:t>
            </w:r>
            <w:proofErr w:type="spellStart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Melnikov</w:t>
            </w:r>
            <w:proofErr w:type="spellEnd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Andrei V. </w:t>
            </w:r>
            <w:proofErr w:type="spellStart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Seregin</w:t>
            </w:r>
            <w:proofErr w:type="spellEnd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Valery K. </w:t>
            </w:r>
            <w:proofErr w:type="spellStart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Tsechoev</w:t>
            </w:r>
            <w:proofErr w:type="spellEnd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Bika</w:t>
            </w:r>
            <w:proofErr w:type="spellEnd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B. </w:t>
            </w:r>
            <w:proofErr w:type="spellStart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Dzhamalova</w:t>
            </w:r>
            <w:proofErr w:type="spellEnd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Zamira</w:t>
            </w:r>
            <w:proofErr w:type="spellEnd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G. </w:t>
            </w:r>
            <w:proofErr w:type="spellStart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Hasanova</w:t>
            </w:r>
            <w:proofErr w:type="spellEnd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  The Necessity Of Formation Of National Ideology And Implementation Of The Principle Of Justic</w:t>
            </w:r>
            <w:r w:rsidR="00C57F4E"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 For The Development Of Russian</w:t>
            </w:r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Society // Astra </w:t>
            </w:r>
            <w:proofErr w:type="spellStart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Salvensis</w:t>
            </w:r>
            <w:proofErr w:type="spellEnd"/>
            <w:r w:rsidRPr="009B0E7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 2018. Volume VI. Supplement. P. 345-351.</w:t>
            </w:r>
          </w:p>
        </w:tc>
        <w:tc>
          <w:tcPr>
            <w:tcW w:w="3544" w:type="dxa"/>
            <w:gridSpan w:val="2"/>
            <w:vAlign w:val="center"/>
          </w:tcPr>
          <w:p w:rsidR="006D3D1D" w:rsidRPr="009B0E73" w:rsidRDefault="006A7782" w:rsidP="006D3D1D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6D3D1D" w:rsidRPr="009B0E7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https://www.elibrary.ru/item.asp?id=35513155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6D3D1D" w:rsidRPr="009B0E73" w:rsidRDefault="006D3D1D" w:rsidP="006D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D3D1D" w:rsidRPr="006A7782" w:rsidTr="004F3907">
        <w:trPr>
          <w:trHeight w:val="420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D3D1D" w:rsidRPr="009B0E73" w:rsidRDefault="006D3D1D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D3D1D" w:rsidRPr="009B0E73" w:rsidRDefault="006D3D1D" w:rsidP="006D3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Miroshik</w:t>
            </w:r>
            <w:proofErr w:type="spellEnd"/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Linkin</w:t>
            </w:r>
            <w:proofErr w:type="spellEnd"/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V.N., </w:t>
            </w:r>
            <w:proofErr w:type="spellStart"/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Nemykina</w:t>
            </w:r>
            <w:proofErr w:type="spellEnd"/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O.E., </w:t>
            </w:r>
            <w:proofErr w:type="spellStart"/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Tutinas</w:t>
            </w:r>
            <w:proofErr w:type="spellEnd"/>
            <w:r w:rsidRPr="009B0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E.V. Legal Encouragement of Entrepreneurial Activity//</w:t>
            </w:r>
            <w:r w:rsidRPr="009B0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European Research Studies Journal. Vol. XXI. № 4. 2018. </w:t>
            </w:r>
            <w:r w:rsidRPr="009B0E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9B0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296-302.</w:t>
            </w:r>
          </w:p>
        </w:tc>
        <w:tc>
          <w:tcPr>
            <w:tcW w:w="3544" w:type="dxa"/>
            <w:gridSpan w:val="2"/>
            <w:vAlign w:val="center"/>
          </w:tcPr>
          <w:p w:rsidR="006D3D1D" w:rsidRPr="009B0E73" w:rsidRDefault="006A7782" w:rsidP="006D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D3D1D" w:rsidRPr="009B0E7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https://www.elibrary.ru/item.asp?id=38672980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6D3D1D" w:rsidRPr="009B0E73" w:rsidRDefault="006D3D1D" w:rsidP="006D3D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04848" w:rsidRPr="00E04848" w:rsidTr="00B9492F">
        <w:trPr>
          <w:trHeight w:val="420"/>
        </w:trPr>
        <w:tc>
          <w:tcPr>
            <w:tcW w:w="852" w:type="dxa"/>
            <w:vAlign w:val="center"/>
          </w:tcPr>
          <w:p w:rsidR="00E04848" w:rsidRPr="009B0E73" w:rsidRDefault="00E04848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E04848" w:rsidRPr="009B0E73" w:rsidRDefault="00E04848" w:rsidP="006D3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Ovchinnikov</w:t>
            </w:r>
            <w:proofErr w:type="spellEnd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, A., </w:t>
            </w:r>
            <w:proofErr w:type="spellStart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Astapova</w:t>
            </w:r>
            <w:proofErr w:type="spellEnd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, E., Alekseeva, M., </w:t>
            </w:r>
            <w:proofErr w:type="spellStart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Veselaya</w:t>
            </w:r>
            <w:proofErr w:type="spellEnd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, T., </w:t>
            </w:r>
            <w:proofErr w:type="spellStart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Antsiferova</w:t>
            </w:r>
            <w:proofErr w:type="spellEnd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, N. Prospects for the law development in the digital economy conditions // Amazonia </w:t>
            </w:r>
            <w:proofErr w:type="spellStart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investiga</w:t>
            </w:r>
            <w:proofErr w:type="spellEnd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 2018</w:t>
            </w:r>
            <w:proofErr w:type="gramStart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.Vol</w:t>
            </w:r>
            <w:proofErr w:type="gramEnd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7 </w:t>
            </w:r>
            <w:proofErr w:type="spellStart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Núm</w:t>
            </w:r>
            <w:proofErr w:type="spellEnd"/>
            <w:r w:rsidRPr="009B0E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 15: 42-48</w:t>
            </w:r>
          </w:p>
        </w:tc>
        <w:tc>
          <w:tcPr>
            <w:tcW w:w="3544" w:type="dxa"/>
            <w:gridSpan w:val="2"/>
            <w:vAlign w:val="center"/>
          </w:tcPr>
          <w:p w:rsidR="00E04848" w:rsidRPr="009B0E73" w:rsidRDefault="00E04848" w:rsidP="006D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4848" w:rsidRPr="009B0E73" w:rsidRDefault="00E04848" w:rsidP="006D3D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9492F" w:rsidRPr="00E04848" w:rsidTr="004F3907">
        <w:trPr>
          <w:trHeight w:val="420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9492F" w:rsidRPr="009B0E73" w:rsidRDefault="00B9492F" w:rsidP="006D3D1D">
            <w:pPr>
              <w:pStyle w:val="Default"/>
              <w:numPr>
                <w:ilvl w:val="0"/>
                <w:numId w:val="5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B9492F" w:rsidRPr="009B0E73" w:rsidRDefault="00B9492F" w:rsidP="006D3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proofErr w:type="spellStart"/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Syrykh</w:t>
            </w:r>
            <w:proofErr w:type="spellEnd"/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M. </w:t>
            </w:r>
            <w:r w:rsidRPr="009B0E7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0E73">
              <w:rPr>
                <w:rFonts w:ascii="Times New Roman" w:hAnsi="Times New Roman" w:cs="Times New Roman"/>
                <w:sz w:val="24"/>
                <w:szCs w:val="24"/>
              </w:rPr>
              <w:t>индивидом</w:t>
            </w:r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0E73">
              <w:rPr>
                <w:rFonts w:ascii="Times New Roman" w:hAnsi="Times New Roman" w:cs="Times New Roman"/>
                <w:sz w:val="24"/>
                <w:szCs w:val="24"/>
              </w:rPr>
              <w:t>воли</w:t>
            </w:r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0E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0E73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0E73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0E73">
              <w:rPr>
                <w:rFonts w:ascii="Times New Roman" w:hAnsi="Times New Roman" w:cs="Times New Roman"/>
                <w:sz w:val="24"/>
                <w:szCs w:val="24"/>
              </w:rPr>
              <w:t>значимого</w:t>
            </w:r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0E7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9B0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9B0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 Formation of a Person’s Will to Commit a Legally Significant Act // Journal of Siberian Federal University. </w:t>
            </w:r>
            <w:proofErr w:type="spellStart"/>
            <w:r w:rsidRPr="009B0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Humanities&amp;SocialSciences</w:t>
            </w:r>
            <w:proofErr w:type="spellEnd"/>
            <w:r w:rsidRPr="009B0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6 (2018 11). P. 1002-1009</w:t>
            </w:r>
          </w:p>
        </w:tc>
        <w:tc>
          <w:tcPr>
            <w:tcW w:w="3544" w:type="dxa"/>
            <w:gridSpan w:val="2"/>
            <w:vAlign w:val="center"/>
          </w:tcPr>
          <w:p w:rsidR="00B9492F" w:rsidRPr="009B0E73" w:rsidRDefault="00B9492F" w:rsidP="006D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492F" w:rsidRPr="009B0E73" w:rsidRDefault="00B9492F" w:rsidP="006D3D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F8596C" w:rsidRPr="004F3907" w:rsidRDefault="00F8596C" w:rsidP="004F39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596C" w:rsidRPr="004F3907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33301"/>
    <w:multiLevelType w:val="hybridMultilevel"/>
    <w:tmpl w:val="A22AD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50113F"/>
    <w:multiLevelType w:val="hybridMultilevel"/>
    <w:tmpl w:val="B46AD5D6"/>
    <w:lvl w:ilvl="0" w:tplc="1AD4821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F2B204A"/>
    <w:multiLevelType w:val="hybridMultilevel"/>
    <w:tmpl w:val="A22AD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65B7"/>
    <w:rsid w:val="00012A3C"/>
    <w:rsid w:val="000267AA"/>
    <w:rsid w:val="00027C87"/>
    <w:rsid w:val="000309E9"/>
    <w:rsid w:val="00085DAA"/>
    <w:rsid w:val="000A2B55"/>
    <w:rsid w:val="000C34D8"/>
    <w:rsid w:val="000D3B65"/>
    <w:rsid w:val="000F3C56"/>
    <w:rsid w:val="00124E29"/>
    <w:rsid w:val="001A3086"/>
    <w:rsid w:val="00200DCC"/>
    <w:rsid w:val="0020237E"/>
    <w:rsid w:val="002243F0"/>
    <w:rsid w:val="00235B5F"/>
    <w:rsid w:val="00256220"/>
    <w:rsid w:val="002666D7"/>
    <w:rsid w:val="002A2A2D"/>
    <w:rsid w:val="0039649A"/>
    <w:rsid w:val="003D1704"/>
    <w:rsid w:val="003D6E11"/>
    <w:rsid w:val="00441C82"/>
    <w:rsid w:val="004A6586"/>
    <w:rsid w:val="004C6BA0"/>
    <w:rsid w:val="004F3907"/>
    <w:rsid w:val="00533B1A"/>
    <w:rsid w:val="00550EB2"/>
    <w:rsid w:val="00560682"/>
    <w:rsid w:val="005619B5"/>
    <w:rsid w:val="005A5ADB"/>
    <w:rsid w:val="005C50A0"/>
    <w:rsid w:val="0062297D"/>
    <w:rsid w:val="00623635"/>
    <w:rsid w:val="006351DF"/>
    <w:rsid w:val="0063736B"/>
    <w:rsid w:val="00656F96"/>
    <w:rsid w:val="00664803"/>
    <w:rsid w:val="0069016E"/>
    <w:rsid w:val="006A1BE4"/>
    <w:rsid w:val="006A7782"/>
    <w:rsid w:val="006D3D1D"/>
    <w:rsid w:val="006F2EBD"/>
    <w:rsid w:val="0077232B"/>
    <w:rsid w:val="00791203"/>
    <w:rsid w:val="0082414C"/>
    <w:rsid w:val="00836944"/>
    <w:rsid w:val="00883790"/>
    <w:rsid w:val="008C6E26"/>
    <w:rsid w:val="00913224"/>
    <w:rsid w:val="00937A02"/>
    <w:rsid w:val="0095589C"/>
    <w:rsid w:val="0096149E"/>
    <w:rsid w:val="009661C9"/>
    <w:rsid w:val="009B0E73"/>
    <w:rsid w:val="009E3385"/>
    <w:rsid w:val="009E568B"/>
    <w:rsid w:val="00A15BF8"/>
    <w:rsid w:val="00A6306E"/>
    <w:rsid w:val="00AE089A"/>
    <w:rsid w:val="00B36D93"/>
    <w:rsid w:val="00B40D15"/>
    <w:rsid w:val="00B57A68"/>
    <w:rsid w:val="00B72337"/>
    <w:rsid w:val="00B84362"/>
    <w:rsid w:val="00B9492F"/>
    <w:rsid w:val="00BA384E"/>
    <w:rsid w:val="00BB5538"/>
    <w:rsid w:val="00BD5318"/>
    <w:rsid w:val="00BF4FDE"/>
    <w:rsid w:val="00C06CC2"/>
    <w:rsid w:val="00C11BAC"/>
    <w:rsid w:val="00C1591E"/>
    <w:rsid w:val="00C57F4E"/>
    <w:rsid w:val="00C8504D"/>
    <w:rsid w:val="00C96A2A"/>
    <w:rsid w:val="00CE7236"/>
    <w:rsid w:val="00D061F0"/>
    <w:rsid w:val="00D22A8A"/>
    <w:rsid w:val="00D50C06"/>
    <w:rsid w:val="00DA5901"/>
    <w:rsid w:val="00DA7876"/>
    <w:rsid w:val="00DD4557"/>
    <w:rsid w:val="00DE7148"/>
    <w:rsid w:val="00DF085D"/>
    <w:rsid w:val="00E04848"/>
    <w:rsid w:val="00E3259F"/>
    <w:rsid w:val="00E44E29"/>
    <w:rsid w:val="00E510B3"/>
    <w:rsid w:val="00E565B7"/>
    <w:rsid w:val="00E665DC"/>
    <w:rsid w:val="00E77AED"/>
    <w:rsid w:val="00EA4822"/>
    <w:rsid w:val="00EB463E"/>
    <w:rsid w:val="00EC259F"/>
    <w:rsid w:val="00EC280F"/>
    <w:rsid w:val="00EE68AF"/>
    <w:rsid w:val="00EF7FFC"/>
    <w:rsid w:val="00F02EBC"/>
    <w:rsid w:val="00F10531"/>
    <w:rsid w:val="00F37216"/>
    <w:rsid w:val="00F3743D"/>
    <w:rsid w:val="00F846E7"/>
    <w:rsid w:val="00F8596C"/>
    <w:rsid w:val="00FC1DC9"/>
    <w:rsid w:val="00FD3BA5"/>
    <w:rsid w:val="00FD68C7"/>
    <w:rsid w:val="00FE45A2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2EA88-037F-45AC-A4EE-5883718C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uiPriority w:val="99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37A02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E77AED"/>
    <w:rPr>
      <w:color w:val="800080" w:themeColor="followedHyperlink"/>
      <w:u w:val="single"/>
    </w:rPr>
  </w:style>
  <w:style w:type="paragraph" w:customStyle="1" w:styleId="2">
    <w:name w:val="Абзац списка2"/>
    <w:basedOn w:val="a"/>
    <w:uiPriority w:val="99"/>
    <w:rsid w:val="00C8504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ontextualspellingandgrammarerror">
    <w:name w:val="contextualspellingandgrammarerror"/>
    <w:uiPriority w:val="99"/>
    <w:rsid w:val="00C8504D"/>
  </w:style>
  <w:style w:type="character" w:customStyle="1" w:styleId="normaltextrun1">
    <w:name w:val="normaltextrun1"/>
    <w:uiPriority w:val="99"/>
    <w:rsid w:val="00C8504D"/>
  </w:style>
  <w:style w:type="paragraph" w:customStyle="1" w:styleId="3">
    <w:name w:val="Абзац списка3"/>
    <w:basedOn w:val="a"/>
    <w:rsid w:val="00D22A8A"/>
    <w:pPr>
      <w:ind w:left="720"/>
    </w:pPr>
    <w:rPr>
      <w:rFonts w:ascii="Calibri" w:eastAsia="Times New Roman" w:hAnsi="Calibri" w:cs="Times New Roman"/>
      <w:lang w:eastAsia="en-US"/>
    </w:rPr>
  </w:style>
  <w:style w:type="paragraph" w:styleId="ac">
    <w:name w:val="footer"/>
    <w:basedOn w:val="a"/>
    <w:link w:val="ad"/>
    <w:semiHidden/>
    <w:rsid w:val="00D22A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ad">
    <w:name w:val="Нижний колонтитул Знак"/>
    <w:basedOn w:val="a0"/>
    <w:link w:val="ac"/>
    <w:semiHidden/>
    <w:rsid w:val="00D22A8A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D50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0C06"/>
    <w:rPr>
      <w:rFonts w:ascii="Courier New" w:eastAsia="Times New Roman" w:hAnsi="Courier New" w:cs="Courier New"/>
      <w:sz w:val="20"/>
      <w:szCs w:val="20"/>
    </w:rPr>
  </w:style>
  <w:style w:type="paragraph" w:customStyle="1" w:styleId="4">
    <w:name w:val="Абзац списка4"/>
    <w:basedOn w:val="a"/>
    <w:rsid w:val="00F846E7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1690180" TargetMode="External"/><Relationship Id="rId13" Type="http://schemas.openxmlformats.org/officeDocument/2006/relationships/hyperlink" Target="https://www.elibrary.ru/item.asp?id=386729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1688013" TargetMode="External"/><Relationship Id="rId12" Type="http://schemas.openxmlformats.org/officeDocument/2006/relationships/hyperlink" Target="https://www.elibrary.ru/item.asp?id=35513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tsu.ru/vestnik/&amp;journal_page=archive&amp;id=1677&amp;article_id=37452" TargetMode="External"/><Relationship Id="rId11" Type="http://schemas.openxmlformats.org/officeDocument/2006/relationships/hyperlink" Target="http://www.indjst.org/index.php/indjst/article/view/93900/6977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semanticscholar.org/paper/Comparative-Analysis-of-Mediation-Procedures-and-of-Vlasov-Vlasova/11ec9b4e8c20eeb3470565e54632732bfcde7e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.edu.mt/library/oar/bitstream/123456789/28961/1/The_Basic_Principles_of_the_European_State_and_Dynamics_of_the_Political_and_Legal_Development_within_the_Russian_Federation_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Владислав Шелудяев</cp:lastModifiedBy>
  <cp:revision>72</cp:revision>
  <dcterms:created xsi:type="dcterms:W3CDTF">2020-06-03T15:06:00Z</dcterms:created>
  <dcterms:modified xsi:type="dcterms:W3CDTF">2021-08-31T11:52:00Z</dcterms:modified>
</cp:coreProperties>
</file>